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704"/>
        <w:jc w:val="center"/>
      </w:pPr>
      <w:r>
        <w:rPr>
          <w:rFonts w:ascii="宋体" w:hAnsi="宋体" w:eastAsia="宋体" w:cs="宋体" w:hint="eastAsia"/>
          <w:b/>
          <w:sz w:val="44"/>
          <w:lang w:eastAsia="zh-CN"/>
        </w:rPr>
        <w:t>软件服务合同书</w:t>
      </w:r>
      <w:r/>
    </w:p>
    <w:p>
      <w:pPr>
        <w:spacing w:after="320"/>
        <w:jc w:val="center"/>
      </w:pPr>
      <w:r>
        <w:rPr>
          <w:rFonts w:ascii="宋体" w:eastAsia="宋体" w:hAnsi="宋体" w:cs="宋体" w:hint="eastAsia"/>
          <w:color w:val="666666"/>
          <w:sz w:val="20"/>
          <w:lang w:eastAsia="zh-CN"/>
        </w:rPr>
        <w:t>房建通</w:t>
      </w:r>
      <w:r>
        <w:rPr>
          <w:color w:val="666666"/>
          <w:sz w:val="20"/>
        </w:rPr>
        <w:t xml:space="preserve"> / </w:t>
      </w:r>
      <w:r>
        <w:rPr>
          <w:rFonts w:ascii="宋体" w:eastAsia="宋体" w:hAnsi="宋体" w:cs="宋体" w:hint="eastAsia"/>
          <w:color w:val="666666"/>
          <w:sz w:val="20"/>
          <w:lang w:eastAsia="zh-CN"/>
        </w:rPr>
        <w:t>市政通</w:t>
      </w:r>
      <w:r>
        <w:rPr>
          <w:color w:val="666666"/>
          <w:sz w:val="20"/>
        </w:rPr>
        <w:t xml:space="preserve"> / </w:t>
      </w:r>
      <w:r>
        <w:rPr>
          <w:rFonts w:ascii="宋体" w:eastAsia="宋体" w:hAnsi="宋体" w:cs="宋体" w:hint="eastAsia"/>
          <w:color w:val="666666"/>
          <w:sz w:val="20"/>
          <w:lang w:eastAsia="zh-CN"/>
        </w:rPr>
        <w:t>公路通</w:t>
      </w:r>
      <w:r>
        <w:rPr>
          <w:color w:val="666666"/>
          <w:sz w:val="20"/>
        </w:rPr>
        <w:t xml:space="preserve"> / </w:t>
      </w:r>
      <w:r>
        <w:rPr>
          <w:rFonts w:ascii="宋体" w:eastAsia="宋体" w:hAnsi="宋体" w:cs="宋体" w:hint="eastAsia"/>
          <w:color w:val="666666"/>
          <w:sz w:val="20"/>
          <w:lang w:eastAsia="zh-CN"/>
        </w:rPr>
        <w:t>水利水电通</w:t>
      </w:r>
      <w:r>
        <w:rPr>
          <w:color w:val="666666"/>
          <w:sz w:val="20"/>
        </w:rPr>
        <w:t xml:space="preserve"> AI </w:t>
      </w:r>
      <w:r>
        <w:rPr>
          <w:rFonts w:ascii="宋体" w:eastAsia="宋体" w:hAnsi="宋体" w:cs="宋体" w:hint="eastAsia"/>
          <w:color w:val="666666"/>
          <w:sz w:val="20"/>
          <w:lang w:eastAsia="zh-CN"/>
        </w:rPr>
        <w:t>计价平台软件服务</w:t>
      </w:r>
      <w:r/>
    </w:p>
    <w:p>
      <w:pPr>
        <w:jc w:val="center"/>
      </w:pPr>
      <w:r>
        <w:rPr>
          <w:rFonts w:ascii="宋体" w:eastAsia="宋体" w:hAnsi="宋体" w:cs="宋体" w:hint="eastAsia"/>
          <w:color w:val="666666"/>
          <w:sz w:val="20"/>
          <w:lang w:eastAsia="zh-CN"/>
        </w:rPr>
        <w:t>合同编号：</w:t>
      </w:r>
      <w:bookmarkStart w:id="0" w:name="合同编号"/>
      <w:r>
        <w:rPr>
          <w:color w:val="666666"/>
          <w:sz w:val="20"/>
        </w:rPr>
        <w:t>________________</w:t>
      </w:r>
      <w:bookmarkEnd w:id="0"/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2074"/>
        <w:gridCol w:w="3283"/>
        <w:gridCol w:w="3283"/>
      </w:tblGrid>
      <w:tr>
        <w:tc>
          <w:tcPr>
            <w:tcW w:type="pct" w:w="12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项目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甲方（客户）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乙方（服务提供方）</w:t>
            </w:r>
          </w:p>
        </w:tc>
      </w:tr>
      <w:tr>
        <w:tc>
          <w:tcPr>
            <w:tcW w:type="pct" w:w="12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名称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" w:name="甲方名称"/>
            <w:r>
              <w:rPr>
                <w:sz w:val="22"/>
              </w:rPr>
              <w:t xml:space="preserve">              </w:t>
            </w:r>
            <w:bookmarkEnd w:id="1"/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广州金容诚工程咨询有限公司</w:t>
            </w:r>
          </w:p>
        </w:tc>
      </w:tr>
      <w:tr>
        <w:tc>
          <w:tcPr>
            <w:tcW w:type="pct" w:w="12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统一社会信用代码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2" w:name="甲方信用代码"/>
            <w:r>
              <w:rPr>
                <w:sz w:val="22"/>
              </w:rPr>
              <w:t xml:space="preserve">              </w:t>
            </w:r>
            <w:bookmarkEnd w:id="2"/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3" w:name="乙方信用代码"/>
            <w:r>
              <w:rPr>
                <w:sz w:val="22"/>
              </w:rPr>
              <w:t xml:space="preserve">              </w:t>
            </w:r>
            <w:bookmarkEnd w:id="3"/>
          </w:p>
        </w:tc>
      </w:tr>
      <w:tr>
        <w:tc>
          <w:tcPr>
            <w:tcW w:type="pct" w:w="12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法定代表人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4" w:name="甲方法定代表人"/>
            <w:r>
              <w:rPr>
                <w:sz w:val="22"/>
              </w:rPr>
              <w:t xml:space="preserve">              </w:t>
            </w:r>
            <w:bookmarkEnd w:id="4"/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5" w:name="乙方法定代表人"/>
            <w:r>
              <w:rPr>
                <w:sz w:val="22"/>
              </w:rPr>
              <w:t xml:space="preserve">              </w:t>
            </w:r>
            <w:bookmarkEnd w:id="5"/>
          </w:p>
        </w:tc>
      </w:tr>
      <w:tr>
        <w:tc>
          <w:tcPr>
            <w:tcW w:type="pct" w:w="12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地址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6" w:name="甲方地址"/>
            <w:r>
              <w:rPr>
                <w:sz w:val="22"/>
              </w:rPr>
              <w:t xml:space="preserve">              </w:t>
            </w:r>
            <w:bookmarkEnd w:id="6"/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7" w:name="乙方地址"/>
            <w:r>
              <w:rPr>
                <w:sz w:val="22"/>
              </w:rPr>
              <w:t xml:space="preserve">              </w:t>
            </w:r>
            <w:bookmarkEnd w:id="7"/>
          </w:p>
        </w:tc>
      </w:tr>
      <w:tr>
        <w:tc>
          <w:tcPr>
            <w:tcW w:type="pct" w:w="12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联系方式</w:t>
            </w:r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8" w:name="甲方联系方式"/>
            <w:r>
              <w:rPr>
                <w:sz w:val="22"/>
              </w:rPr>
              <w:t xml:space="preserve">              </w:t>
            </w:r>
            <w:bookmarkEnd w:id="8"/>
          </w:p>
        </w:tc>
        <w:tc>
          <w:tcPr>
            <w:tcW w:type="pct" w:w="1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淘宝店铺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网站用户中心在线工单</w:t>
            </w:r>
          </w:p>
        </w:tc>
      </w:tr>
    </w:tbl>
    <w:p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鉴于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（一）乙方是专业从事工程造价与招投标咨询、并自主研发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计价软件产品的技术服务企业；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（二）甲方因工程造价编制、招投标报价、预结算管理等业务需要，拟使用乙方提供的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计价软件产品及配套服务；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（三）双方本着平等、自愿、诚实信用的原则，依据《中华人民共和国民法典》合同编及相关法律法规，就软件服务事宜达成如下协议。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第一章 合同标的与服务范围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第一条 合同标的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乙方通过其</w:t>
      </w:r>
      <w:r>
        <w:t>"</w:t>
      </w:r>
      <w:r>
        <w:rPr>
          <w:rFonts w:ascii="宋体" w:eastAsia="宋体" w:hAnsi="宋体" w:cs="宋体" w:hint="eastAsia"/>
          <w:lang w:eastAsia="zh-CN"/>
        </w:rPr>
        <w:t>新设想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造价平台</w:t>
      </w:r>
      <w:r>
        <w:t>"</w:t>
      </w:r>
      <w:r>
        <w:rPr>
          <w:rFonts w:ascii="宋体" w:eastAsia="宋体" w:hAnsi="宋体" w:cs="宋体" w:hint="eastAsia"/>
          <w:lang w:eastAsia="zh-CN"/>
        </w:rPr>
        <w:t>向甲方提供以下四条产品线的软件授权与配套技术服务（甲方可依据业务需要选择一项或多项，详见第二章）：</w:t>
      </w:r>
      <w:r/>
    </w:p>
    <w:p>
      <w:pPr>
        <w:pStyle w:val="ListNumber"/>
        <w:numPr>
          <w:ilvl w:val="0"/>
          <w:numId w:val="10"/>
        </w:numPr>
      </w:pPr>
      <w:r>
        <w:rPr>
          <w:rFonts w:ascii="宋体" w:eastAsia="宋体" w:hAnsi="宋体" w:cs="宋体" w:hint="eastAsia"/>
          <w:lang w:eastAsia="zh-CN"/>
        </w:rPr>
        <w:t>房建通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计价平台（</w:t>
      </w:r>
      <w:r>
        <w:t>FangJianTongAI</w:t>
      </w:r>
      <w:r>
        <w:rPr>
          <w:rFonts w:ascii="宋体" w:eastAsia="宋体" w:hAnsi="宋体" w:cs="宋体" w:hint="eastAsia"/>
          <w:lang w:eastAsia="zh-CN"/>
        </w:rPr>
        <w:t>）：面向房屋建筑与装饰、通用安装工程的智能计价软件；</w:t>
      </w:r>
    </w:p>
    <w:p>
      <w:pPr>
        <w:pStyle w:val="ListNumber"/>
        <w:numPr>
          <w:ilvl w:val="0"/>
          <w:numId w:val="10"/>
        </w:numPr>
      </w:pPr>
      <w:r>
        <w:rPr>
          <w:rFonts w:ascii="宋体" w:eastAsia="宋体" w:hAnsi="宋体" w:cs="宋体" w:hint="eastAsia"/>
          <w:lang w:eastAsia="zh-CN"/>
        </w:rPr>
        <w:t>市政通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计价平台（</w:t>
      </w:r>
      <w:r>
        <w:t>ShiZhengTongAI</w:t>
      </w:r>
      <w:r>
        <w:rPr>
          <w:rFonts w:ascii="宋体" w:eastAsia="宋体" w:hAnsi="宋体" w:cs="宋体" w:hint="eastAsia"/>
          <w:lang w:eastAsia="zh-CN"/>
        </w:rPr>
        <w:t>）：面向市政、园林、轨道、构筑物工程的智能计价软件；</w:t>
      </w:r>
    </w:p>
    <w:p>
      <w:pPr>
        <w:pStyle w:val="ListNumber"/>
        <w:numPr>
          <w:ilvl w:val="0"/>
          <w:numId w:val="10"/>
        </w:numPr>
      </w:pPr>
      <w:r>
        <w:rPr>
          <w:rFonts w:ascii="宋体" w:eastAsia="宋体" w:hAnsi="宋体" w:cs="宋体" w:hint="eastAsia"/>
          <w:lang w:eastAsia="zh-CN"/>
        </w:rPr>
        <w:t>公路通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计价平台（</w:t>
      </w:r>
      <w:r>
        <w:t>LuJianTongPricing</w:t>
      </w:r>
      <w:r>
        <w:rPr>
          <w:rFonts w:ascii="宋体" w:eastAsia="宋体" w:hAnsi="宋体" w:cs="宋体" w:hint="eastAsia"/>
          <w:lang w:eastAsia="zh-CN"/>
        </w:rPr>
        <w:t>）：面向公路、桥梁、隧道工程的智能计价软件；</w:t>
      </w:r>
    </w:p>
    <w:p>
      <w:pPr>
        <w:pStyle w:val="ListNumber"/>
        <w:numPr>
          <w:ilvl w:val="0"/>
          <w:numId w:val="10"/>
        </w:numPr>
      </w:pPr>
      <w:r>
        <w:rPr>
          <w:rFonts w:ascii="宋体" w:eastAsia="宋体" w:hAnsi="宋体" w:cs="宋体" w:hint="eastAsia"/>
          <w:lang w:eastAsia="zh-CN"/>
        </w:rPr>
        <w:t>水利水电通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计价平台（</w:t>
      </w:r>
      <w:r>
        <w:t>ShuiLiTongAI</w:t>
      </w:r>
      <w:r>
        <w:rPr>
          <w:rFonts w:ascii="宋体" w:eastAsia="宋体" w:hAnsi="宋体" w:cs="宋体" w:hint="eastAsia"/>
          <w:lang w:eastAsia="zh-CN"/>
        </w:rPr>
        <w:t>）：面向水利水电建筑工程的智能计价软件。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第二条 服务范围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包括：软件产品授权与版本更新、内置清单库与定额库的维护与年度更新、操作培训与在线技术支持、工程文件兼容与数据迁移协助、定制报表模板与专项组价方案（按所选套餐权限）。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第二章 专业（产品）选择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第三条 产品选择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甲方应在下列产品线中选择所需软件（可多选，在对应方框内打</w:t>
      </w:r>
      <w:r>
        <w:t>"√"</w:t>
      </w:r>
      <w:r>
        <w:rPr>
          <w:rFonts w:ascii="宋体" w:eastAsia="宋体" w:hAnsi="宋体" w:cs="宋体" w:hint="eastAsia"/>
          <w:lang w:eastAsia="zh-CN"/>
        </w:rPr>
        <w:t>）：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691"/>
        <w:gridCol w:w="2592"/>
        <w:gridCol w:w="3629"/>
        <w:gridCol w:w="1728"/>
      </w:tblGrid>
      <w:tr>
        <w:tc>
          <w:tcPr>
            <w:tcW w:type="pct" w:w="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序号</w:t>
            </w:r>
          </w:p>
        </w:tc>
        <w:tc>
          <w:tcPr>
            <w:tcW w:type="pct" w:w="15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产品名称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适用专业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甲方选择</w:t>
            </w:r>
          </w:p>
        </w:tc>
      </w:tr>
      <w:tr>
        <w:tc>
          <w:tcPr>
            <w:tcW w:type="pct" w:w="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1</w:t>
            </w:r>
          </w:p>
        </w:tc>
        <w:tc>
          <w:tcPr>
            <w:tcW w:type="pct" w:w="15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房建通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AI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计价平台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房建、装饰装修、通用安装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9" w:name="选择房建通"/>
            <w:r>
              <w:rPr>
                <w:sz w:val="22"/>
              </w:rPr>
              <w:t xml:space="preserve">    </w:t>
            </w:r>
            <w:bookmarkEnd w:id="9"/>
          </w:p>
        </w:tc>
      </w:tr>
      <w:tr>
        <w:tc>
          <w:tcPr>
            <w:tcW w:type="pct" w:w="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2</w:t>
            </w:r>
          </w:p>
        </w:tc>
        <w:tc>
          <w:tcPr>
            <w:tcW w:type="pct" w:w="15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市政通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AI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计价平台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市政、园林、轨道、构筑物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0" w:name="选择市政通"/>
            <w:r>
              <w:rPr>
                <w:sz w:val="22"/>
              </w:rPr>
              <w:t xml:space="preserve">    </w:t>
            </w:r>
            <w:bookmarkEnd w:id="10"/>
          </w:p>
        </w:tc>
      </w:tr>
      <w:tr>
        <w:tc>
          <w:tcPr>
            <w:tcW w:type="pct" w:w="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3</w:t>
            </w:r>
          </w:p>
        </w:tc>
        <w:tc>
          <w:tcPr>
            <w:tcW w:type="pct" w:w="15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公路通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AI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计价平台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公路、桥梁、隧道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1" w:name="选择公路通"/>
            <w:r>
              <w:rPr>
                <w:sz w:val="22"/>
              </w:rPr>
              <w:t xml:space="preserve">    </w:t>
            </w:r>
            <w:bookmarkEnd w:id="11"/>
          </w:p>
        </w:tc>
      </w:tr>
      <w:tr>
        <w:tc>
          <w:tcPr>
            <w:tcW w:type="pct" w:w="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4</w:t>
            </w:r>
          </w:p>
        </w:tc>
        <w:tc>
          <w:tcPr>
            <w:tcW w:type="pct" w:w="15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水利水电通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AI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计价平台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水利水电建筑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2" w:name="选择水利水电通"/>
            <w:r>
              <w:rPr>
                <w:sz w:val="22"/>
              </w:rPr>
              <w:t xml:space="preserve">    </w:t>
            </w:r>
            <w:bookmarkEnd w:id="12"/>
          </w:p>
        </w:tc>
      </w:tr>
    </w:tbl>
    <w:p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第四条 标的范围确认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甲方所选产品一经确认并付费激活，即作为本合同标的范围，乙方按所选产品提供对应的定额库、清单库与服务功能。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第三章 清单库与定额库（核心数据）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第五条 内置数据范围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乙方各产品线内置经裁剪封装的清单规范与省级定额库，随软件授权提供，甲方所选产品的数据范围如下：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555"/>
        <w:gridCol w:w="3456"/>
        <w:gridCol w:w="3629"/>
      </w:tblGrid>
      <w:tr>
        <w:tc>
          <w:tcPr>
            <w:tcW w:type="pct" w:w="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产品</w:t>
            </w:r>
          </w:p>
        </w:tc>
        <w:tc>
          <w:tcPr>
            <w:tcW w:type="pct" w:w="2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内置清单规范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内置定额库（册别）</w:t>
            </w:r>
          </w:p>
        </w:tc>
      </w:tr>
      <w:tr>
        <w:tc>
          <w:tcPr>
            <w:tcW w:type="pct" w:w="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房建通</w:t>
            </w:r>
          </w:p>
        </w:tc>
        <w:tc>
          <w:tcPr>
            <w:tcW w:type="pct" w:w="2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房屋建筑与装饰工程工程量清单（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GB50500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系列）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A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房建与装饰（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2018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）、册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C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通用安装（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2018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）及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2010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兼容版</w:t>
            </w:r>
          </w:p>
        </w:tc>
      </w:tr>
      <w:tr>
        <w:tc>
          <w:tcPr>
            <w:tcW w:type="pct" w:w="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市政通</w:t>
            </w:r>
          </w:p>
        </w:tc>
        <w:tc>
          <w:tcPr>
            <w:tcW w:type="pct" w:w="2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市政工程工程量清单（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GB50500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系列）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D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市政、册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E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园林、册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W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构筑物、册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M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轨道、册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G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修缮等（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2018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）及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2010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兼容版</w:t>
            </w:r>
          </w:p>
        </w:tc>
      </w:tr>
      <w:tr>
        <w:tc>
          <w:tcPr>
            <w:tcW w:type="pct" w:w="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公路通</w:t>
            </w:r>
          </w:p>
        </w:tc>
        <w:tc>
          <w:tcPr>
            <w:tcW w:type="pct" w:w="2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公路工程工程量清单计量规则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公路工程概算定额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GLYS2018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、预算定额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GLGS2018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、编制办法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JTG 3830-2018</w:t>
            </w:r>
          </w:p>
        </w:tc>
      </w:tr>
      <w:tr>
        <w:tc>
          <w:tcPr>
            <w:tcW w:type="pct" w:w="9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水利水电通</w:t>
            </w:r>
          </w:p>
        </w:tc>
        <w:tc>
          <w:tcPr>
            <w:tcW w:type="pct" w:w="2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水利水电工程工程量清单计价规范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广东省水利水电建筑工程预算定额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2017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上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下册及概估算编制规定</w:t>
            </w:r>
          </w:p>
        </w:tc>
      </w:tr>
    </w:tbl>
    <w:p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第六条 数据加密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清单库与定额库以</w:t>
      </w:r>
      <w:r>
        <w:t xml:space="preserve"> AES-256-GCM </w:t>
      </w:r>
      <w:r>
        <w:rPr>
          <w:rFonts w:ascii="宋体" w:eastAsia="宋体" w:hAnsi="宋体" w:cs="宋体" w:hint="eastAsia"/>
          <w:lang w:eastAsia="zh-CN"/>
        </w:rPr>
        <w:t>加密形式随软件分发，运行时解密至本地缓存，退出即清除；甲方工程文件以对应扩展名（</w:t>
      </w:r>
      <w:r>
        <w:t>.FJT7/.SZT7/.LJT7/.SLT7</w:t>
      </w:r>
      <w:r>
        <w:rPr>
          <w:rFonts w:ascii="宋体" w:eastAsia="宋体" w:hAnsi="宋体" w:cs="宋体" w:hint="eastAsia"/>
          <w:lang w:eastAsia="zh-CN"/>
        </w:rPr>
        <w:t>）加密保存，保障数据不可被明文复制或篡改。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第七条 数据权属与更新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乙方保留对内置清单库、定额库的知识产权与持续更新权。包月版及以上付费套餐享受定额库年度更新服务。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第四章 服务内容与标准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第八条 软件功能</w:t>
      </w:r>
      <w:r/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工程量清单编制：清单录入</w:t>
      </w:r>
      <w:r>
        <w:t>/</w:t>
      </w:r>
      <w:r>
        <w:rPr>
          <w:rFonts w:ascii="宋体" w:eastAsia="宋体" w:hAnsi="宋体" w:cs="宋体" w:hint="eastAsia"/>
          <w:lang w:eastAsia="zh-CN"/>
        </w:rPr>
        <w:t>导入、按规范自动生成项目编码；</w:t>
      </w:r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定额套用与换算：定额子目套用、系数换算、人材机批量调整；</w:t>
      </w:r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综合单价计算：自动计算人工</w:t>
      </w:r>
      <w:r>
        <w:t>/</w:t>
      </w:r>
      <w:r>
        <w:rPr>
          <w:rFonts w:ascii="宋体" w:eastAsia="宋体" w:hAnsi="宋体" w:cs="宋体" w:hint="eastAsia"/>
          <w:lang w:eastAsia="zh-CN"/>
        </w:rPr>
        <w:t>材料</w:t>
      </w:r>
      <w:r>
        <w:t>/</w:t>
      </w:r>
      <w:r>
        <w:rPr>
          <w:rFonts w:ascii="宋体" w:eastAsia="宋体" w:hAnsi="宋体" w:cs="宋体" w:hint="eastAsia"/>
          <w:lang w:eastAsia="zh-CN"/>
        </w:rPr>
        <w:t>机械费及管理费利润，生成综合单价分析表；</w:t>
      </w:r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信息价调差：接入地区信息价，对主要材料按价格换算乘数自动调差；</w:t>
      </w:r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标准报表输出：一键输出造价报表（含七表样张），行高列宽保真；</w:t>
      </w:r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数据加密保护：定额库与工程文件加密存储；</w:t>
      </w:r>
    </w:p>
    <w:p>
      <w:pPr>
        <w:pStyle w:val="ListNumber"/>
        <w:numPr>
          <w:ilvl w:val="0"/>
          <w:numId w:val="11"/>
        </w:numPr>
      </w:pPr>
      <w:r>
        <w:rPr>
          <w:rFonts w:ascii="宋体" w:eastAsia="宋体" w:hAnsi="宋体" w:cs="宋体" w:hint="eastAsia"/>
          <w:lang w:eastAsia="zh-CN"/>
        </w:rPr>
        <w:t>授权与订阅：网站用户中心</w:t>
      </w:r>
      <w:r>
        <w:t xml:space="preserve"> APIKEY </w:t>
      </w:r>
      <w:r>
        <w:rPr>
          <w:rFonts w:ascii="宋体" w:eastAsia="宋体" w:hAnsi="宋体" w:cs="宋体" w:hint="eastAsia"/>
          <w:lang w:eastAsia="zh-CN"/>
        </w:rPr>
        <w:t>订阅激活，按套餐解锁功能。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第九条 培训与支持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乙方应通过在线文档、视频教程、即时通讯等方式提供操作培训与技术支持，保障甲方可正常使用所选产品功能。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第五章 套餐选择与费用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第十条 计费周期与档位选择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软件采用订阅制授权，甲方应在下列计费周期中择一，并选定对应档位（在所选项打</w:t>
      </w:r>
      <w:r>
        <w:t>"√"</w:t>
      </w:r>
      <w:r>
        <w:rPr>
          <w:rFonts w:ascii="宋体" w:eastAsia="宋体" w:hAnsi="宋体" w:cs="宋体" w:hint="eastAsia"/>
          <w:lang w:eastAsia="zh-CN"/>
        </w:rPr>
        <w:t>）：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3629"/>
        <w:gridCol w:w="1901"/>
        <w:gridCol w:w="1728"/>
      </w:tblGrid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计费周期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可选档位</w:t>
            </w:r>
          </w:p>
        </w:tc>
        <w:tc>
          <w:tcPr>
            <w:tcW w:type="pct" w:w="1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参考价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甲方选择</w:t>
            </w:r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月付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体验版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包月版</w:t>
            </w:r>
          </w:p>
        </w:tc>
        <w:tc>
          <w:tcPr>
            <w:tcW w:type="pct" w:w="1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体验版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0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；包月版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499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3" w:name="选择月付"/>
            <w:r>
              <w:rPr>
                <w:sz w:val="22"/>
              </w:rPr>
              <w:t xml:space="preserve">    </w:t>
            </w:r>
            <w:bookmarkEnd w:id="13"/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季付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季付版（标准版季付）</w:t>
            </w:r>
          </w:p>
        </w:tc>
        <w:tc>
          <w:tcPr>
            <w:tcW w:type="pct" w:w="1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1200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季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4" w:name="选择季付"/>
            <w:r>
              <w:rPr>
                <w:sz w:val="22"/>
              </w:rPr>
              <w:t xml:space="preserve">    </w:t>
            </w:r>
            <w:bookmarkEnd w:id="14"/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年付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年付版（标准版年付）</w:t>
            </w:r>
          </w:p>
        </w:tc>
        <w:tc>
          <w:tcPr>
            <w:tcW w:type="pct" w:w="1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3999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年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5" w:name="选择年付"/>
            <w:r>
              <w:rPr>
                <w:sz w:val="22"/>
              </w:rPr>
              <w:t xml:space="preserve">    </w:t>
            </w:r>
            <w:bookmarkEnd w:id="15"/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终身</w:t>
            </w:r>
          </w:p>
        </w:tc>
        <w:tc>
          <w:tcPr>
            <w:tcW w:type="pct" w:w="2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终身版（一次性买断）</w:t>
            </w:r>
          </w:p>
        </w:tc>
        <w:tc>
          <w:tcPr>
            <w:tcW w:type="pct" w:w="11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13999</w:t>
            </w:r>
          </w:p>
        </w:tc>
        <w:tc>
          <w:tcPr>
            <w:tcW w:type="pct" w:w="10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bookmarkStart w:id="16" w:name="选择终身"/>
            <w:r>
              <w:rPr>
                <w:sz w:val="22"/>
              </w:rPr>
              <w:t xml:space="preserve">    </w:t>
            </w:r>
            <w:bookmarkEnd w:id="16"/>
          </w:p>
        </w:tc>
      </w:tr>
    </w:tbl>
    <w:p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第十一条 档位权益（最终以店铺公示为准）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382"/>
        <w:gridCol w:w="1382"/>
        <w:gridCol w:w="5875"/>
      </w:tblGrid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档位</w:t>
            </w:r>
          </w:p>
        </w:tc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参考价</w:t>
            </w:r>
          </w:p>
        </w:tc>
        <w:tc>
          <w:tcPr>
            <w:tcW w:type="pct" w:w="3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2F4F7"/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主要权益</w:t>
            </w:r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体验版</w:t>
            </w:r>
          </w:p>
        </w:tc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0</w:t>
            </w:r>
          </w:p>
        </w:tc>
        <w:tc>
          <w:tcPr>
            <w:tcW w:type="pct" w:w="3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7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天全功能试用，单工程，体验全部模块</w:t>
            </w:r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包月版</w:t>
            </w:r>
          </w:p>
        </w:tc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499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</w:p>
        </w:tc>
        <w:tc>
          <w:tcPr>
            <w:tcW w:type="pct" w:w="3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全专业定额，综合单价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+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信息价调差，多工程</w:t>
            </w:r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季付版</w:t>
            </w:r>
          </w:p>
        </w:tc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1200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季</w:t>
            </w:r>
          </w:p>
        </w:tc>
        <w:tc>
          <w:tcPr>
            <w:tcW w:type="pct" w:w="3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标准版季付，相当于省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1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个月，灵活划算</w:t>
            </w:r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年付版</w:t>
            </w:r>
          </w:p>
        </w:tc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3999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年</w:t>
            </w:r>
          </w:p>
        </w:tc>
        <w:tc>
          <w:tcPr>
            <w:tcW w:type="pct" w:w="3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标准版年付，相当于省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2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个月以上</w:t>
            </w:r>
          </w:p>
        </w:tc>
      </w:tr>
      <w:tr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终身版</w:t>
            </w:r>
          </w:p>
        </w:tc>
        <w:tc>
          <w:tcPr>
            <w:tcW w:type="pct" w:w="8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13999</w:t>
            </w:r>
          </w:p>
        </w:tc>
        <w:tc>
          <w:tcPr>
            <w:tcW w:type="pct" w:w="3400"/>
            <w:tcBorders>
              <w:top w:val="single" w:sz="6" w:space="0" w:color="888888"/>
              <w:bottom w:val="single" w:sz="6" w:space="0" w:color="888888"/>
              <w:left w:val="single" w:sz="6" w:space="0" w:color="888888"/>
              <w:right w:val="single" w:sz="6" w:space="0" w:color="888888"/>
            </w:tcBorders>
            <w:vAlign w:val="center"/>
            <w:tcMar>
              <w:top w:w="108" w:type="dxa"/>
              <w:bottom w:w="108" w:type="dxa"/>
              <w:left w:w="192" w:type="dxa"/>
              <w:right w:w="192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一次性买断，永久授权，终身免费更新</w:t>
            </w:r>
          </w:p>
        </w:tc>
      </w:tr>
    </w:tbl>
    <w:p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第十二条 支付与续费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甲方通过乙方淘宝店铺或指定支付渠道完成付款后，乙方发放</w:t>
      </w:r>
      <w:r>
        <w:t xml:space="preserve"> APIKEY </w:t>
      </w:r>
      <w:r>
        <w:rPr>
          <w:rFonts w:ascii="宋体" w:eastAsia="宋体" w:hAnsi="宋体" w:cs="宋体" w:hint="eastAsia"/>
          <w:lang w:eastAsia="zh-CN"/>
        </w:rPr>
        <w:t>激活码。付款即视为甲方确认所选产品与套餐。订阅到期前可续费或升级档位；终身版买断后无需续费。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第六章 授权、交付与验收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第十三条 交付方式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软件以</w:t>
      </w:r>
      <w:r>
        <w:t xml:space="preserve"> Windows </w:t>
      </w:r>
      <w:r>
        <w:rPr>
          <w:rFonts w:ascii="宋体" w:eastAsia="宋体" w:hAnsi="宋体" w:cs="宋体" w:hint="eastAsia"/>
          <w:lang w:eastAsia="zh-CN"/>
        </w:rPr>
        <w:t>桌面端可执行程序（</w:t>
      </w:r>
      <w:r>
        <w:t>exe</w:t>
      </w:r>
      <w:r>
        <w:rPr>
          <w:rFonts w:ascii="宋体" w:eastAsia="宋体" w:hAnsi="宋体" w:cs="宋体" w:hint="eastAsia"/>
          <w:lang w:eastAsia="zh-CN"/>
        </w:rPr>
        <w:t>）形式提供，乙方通过下载链接或随附介质交付；授权以</w:t>
      </w:r>
      <w:r>
        <w:t xml:space="preserve"> APIKEY </w:t>
      </w:r>
      <w:r>
        <w:rPr>
          <w:rFonts w:ascii="宋体" w:eastAsia="宋体" w:hAnsi="宋体" w:cs="宋体" w:hint="eastAsia"/>
          <w:lang w:eastAsia="zh-CN"/>
        </w:rPr>
        <w:t>激活。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第十四条 验收标准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甲方在收到软件并完成激活后</w:t>
      </w:r>
      <w:r>
        <w:t xml:space="preserve"> 7 </w:t>
      </w:r>
      <w:r>
        <w:rPr>
          <w:rFonts w:ascii="宋体" w:eastAsia="宋体" w:hAnsi="宋体" w:cs="宋体" w:hint="eastAsia"/>
          <w:lang w:eastAsia="zh-CN"/>
        </w:rPr>
        <w:t>日内，可正常使用所选产品的清单编制、定额套用、综合单价、报表输出等核心功能，即视为验收合格。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第十五条 异议处理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甲方对交付有异议的，应在验收期内书面提出，乙方应在</w:t>
      </w:r>
      <w:r>
        <w:t xml:space="preserve"> 5 </w:t>
      </w:r>
      <w:r>
        <w:rPr>
          <w:rFonts w:ascii="宋体" w:eastAsia="宋体" w:hAnsi="宋体" w:cs="宋体" w:hint="eastAsia"/>
          <w:lang w:eastAsia="zh-CN"/>
        </w:rPr>
        <w:t>个工作日内响应并处理。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第七章 双方权利与义务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第十六条 甲方权利与义务</w:t>
      </w:r>
      <w:r/>
    </w:p>
    <w:p>
      <w:pPr>
        <w:pStyle w:val="ListNumber"/>
        <w:numPr>
          <w:ilvl w:val="0"/>
          <w:numId w:val="12"/>
        </w:numPr>
      </w:pPr>
      <w:r>
        <w:rPr>
          <w:rFonts w:ascii="宋体" w:eastAsia="宋体" w:hAnsi="宋体" w:cs="宋体" w:hint="eastAsia"/>
          <w:lang w:eastAsia="zh-CN"/>
        </w:rPr>
        <w:t>按约定支付费用，合法使用软件，不得将软件转售、破解或用于非法用途；</w:t>
      </w:r>
    </w:p>
    <w:p>
      <w:pPr>
        <w:pStyle w:val="ListNumber"/>
        <w:numPr>
          <w:ilvl w:val="0"/>
          <w:numId w:val="12"/>
        </w:numPr>
      </w:pPr>
      <w:r>
        <w:rPr>
          <w:rFonts w:ascii="宋体" w:eastAsia="宋体" w:hAnsi="宋体" w:cs="宋体" w:hint="eastAsia"/>
          <w:lang w:eastAsia="zh-CN"/>
        </w:rPr>
        <w:t>妥善保管</w:t>
      </w:r>
      <w:r>
        <w:t xml:space="preserve"> APIKEY </w:t>
      </w:r>
      <w:r>
        <w:rPr>
          <w:rFonts w:ascii="宋体" w:eastAsia="宋体" w:hAnsi="宋体" w:cs="宋体" w:hint="eastAsia"/>
          <w:lang w:eastAsia="zh-CN"/>
        </w:rPr>
        <w:t>与工程数据，因保管不善导致的数据泄露由甲方自行承担；</w:t>
      </w:r>
    </w:p>
    <w:p>
      <w:pPr>
        <w:pStyle w:val="ListNumber"/>
        <w:numPr>
          <w:ilvl w:val="0"/>
          <w:numId w:val="12"/>
        </w:numPr>
      </w:pPr>
      <w:r>
        <w:rPr>
          <w:rFonts w:ascii="宋体" w:eastAsia="宋体" w:hAnsi="宋体" w:cs="宋体" w:hint="eastAsia"/>
          <w:lang w:eastAsia="zh-CN"/>
        </w:rPr>
        <w:t>有权就软件功能与服务质量向乙方提出合理建议。</w:t>
      </w:r>
      <w:r/>
    </w:p>
    <w:p>
      <w:pPr>
        <w:pStyle w:val="Heading3"/>
        <w:spacing w:before="208" w:after="182"/>
      </w:pPr>
      <w:r>
        <w:rPr>
          <w:rFonts w:ascii="宋体" w:hAnsi="宋体" w:eastAsia="宋体" w:cs="宋体" w:hint="eastAsia"/>
          <w:b/>
          <w:sz w:val="26"/>
          <w:lang w:eastAsia="zh-CN"/>
        </w:rPr>
        <w:t>第十七条 乙方权利与义务</w:t>
      </w:r>
      <w:r/>
    </w:p>
    <w:p>
      <w:pPr>
        <w:pStyle w:val="ListNumber"/>
        <w:numPr>
          <w:ilvl w:val="0"/>
          <w:numId w:val="13"/>
        </w:numPr>
      </w:pPr>
      <w:r>
        <w:rPr>
          <w:rFonts w:ascii="宋体" w:eastAsia="宋体" w:hAnsi="宋体" w:cs="宋体" w:hint="eastAsia"/>
          <w:lang w:eastAsia="zh-CN"/>
        </w:rPr>
        <w:t>按约定提供软件授权与技术服务，保障所选产品功能可用；</w:t>
      </w:r>
    </w:p>
    <w:p>
      <w:pPr>
        <w:pStyle w:val="ListNumber"/>
        <w:numPr>
          <w:ilvl w:val="0"/>
          <w:numId w:val="13"/>
        </w:numPr>
      </w:pPr>
      <w:r>
        <w:rPr>
          <w:rFonts w:ascii="宋体" w:eastAsia="宋体" w:hAnsi="宋体" w:cs="宋体" w:hint="eastAsia"/>
          <w:lang w:eastAsia="zh-CN"/>
        </w:rPr>
        <w:t>对甲方工程数据与商业秘密保密；</w:t>
      </w:r>
    </w:p>
    <w:p>
      <w:pPr>
        <w:pStyle w:val="ListNumber"/>
        <w:numPr>
          <w:ilvl w:val="0"/>
          <w:numId w:val="13"/>
        </w:numPr>
      </w:pPr>
      <w:r>
        <w:rPr>
          <w:rFonts w:ascii="宋体" w:eastAsia="宋体" w:hAnsi="宋体" w:cs="宋体" w:hint="eastAsia"/>
          <w:lang w:eastAsia="zh-CN"/>
        </w:rPr>
        <w:t>持续提供版本更新与定额库维护（按套餐权限）；</w:t>
      </w:r>
    </w:p>
    <w:p>
      <w:pPr>
        <w:pStyle w:val="ListNumber"/>
        <w:numPr>
          <w:ilvl w:val="0"/>
          <w:numId w:val="13"/>
        </w:numPr>
      </w:pPr>
      <w:r>
        <w:rPr>
          <w:rFonts w:ascii="宋体" w:eastAsia="宋体" w:hAnsi="宋体" w:cs="宋体" w:hint="eastAsia"/>
          <w:lang w:eastAsia="zh-CN"/>
        </w:rPr>
        <w:t>有权对甲方违规使用行为中止授权。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第八章 数据安全、保密与知识产权</w:t>
      </w:r>
      <w:r/>
    </w:p>
    <w:p>
      <w:pPr>
        <w:spacing w:before="0" w:after="0"/>
      </w:pPr>
      <w:r>
        <w:t xml:space="preserve">  </w:t>
      </w:r>
      <w:r>
        <w:rPr>
          <w:rFonts w:ascii="宋体" w:eastAsia="宋体" w:hAnsi="宋体" w:cs="宋体" w:hint="eastAsia"/>
          <w:lang w:eastAsia="zh-CN"/>
        </w:rPr>
        <w:t>第十九条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数据安全：乙方软件采用加密存储，但客户端加密用于提高复制与篡改门槛，密钥随软件分发，不能完全杜绝深度逆向；甲方重要成果应结合合同与法律手段保护。</w:t>
      </w:r>
      <w:r/>
    </w:p>
    <w:p>
      <w:pPr>
        <w:spacing w:before="0" w:after="0"/>
      </w:pPr>
      <w:r>
        <w:t xml:space="preserve">  </w:t>
      </w:r>
      <w:r>
        <w:rPr>
          <w:rFonts w:ascii="宋体" w:eastAsia="宋体" w:hAnsi="宋体" w:cs="宋体" w:hint="eastAsia"/>
          <w:lang w:eastAsia="zh-CN"/>
        </w:rPr>
        <w:t>第二十条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保密：双方对在合作中知悉的对方商业秘密、工程数据、技术信息负有保密义务，未经对方书面同意不得向第三方披露；保密期限自合同终止后继续有效三年。</w:t>
      </w:r>
      <w:r/>
    </w:p>
    <w:p>
      <w:pPr>
        <w:spacing w:before="0" w:after="0"/>
      </w:pPr>
      <w:r>
        <w:t xml:space="preserve">  </w:t>
      </w:r>
      <w:r>
        <w:rPr>
          <w:rFonts w:ascii="宋体" w:eastAsia="宋体" w:hAnsi="宋体" w:cs="宋体" w:hint="eastAsia"/>
          <w:lang w:eastAsia="zh-CN"/>
        </w:rPr>
        <w:t>第二十一条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知识产权：乙方软件产品、内置定额库、清单库、算法模型及相关文档的知识产权归乙方所有；甲方依本合同取得的仅为使用权。甲方基于软件生成的工程成果文件归甲方所有。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第九章 违约责任</w:t>
      </w:r>
      <w:r/>
    </w:p>
    <w:p>
      <w:pPr>
        <w:spacing w:before="0" w:after="0"/>
      </w:pPr>
      <w:r>
        <w:t xml:space="preserve">  </w:t>
      </w:r>
      <w:r>
        <w:rPr>
          <w:rFonts w:ascii="宋体" w:eastAsia="宋体" w:hAnsi="宋体" w:cs="宋体" w:hint="eastAsia"/>
          <w:lang w:eastAsia="zh-CN"/>
        </w:rPr>
        <w:t>第二十二条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甲方逾期付款的，每逾期一日按应付金额的</w:t>
      </w:r>
      <w:r>
        <w:t xml:space="preserve"> 0.5‰ </w:t>
      </w:r>
      <w:r>
        <w:rPr>
          <w:rFonts w:ascii="宋体" w:eastAsia="宋体" w:hAnsi="宋体" w:cs="宋体" w:hint="eastAsia"/>
          <w:lang w:eastAsia="zh-CN"/>
        </w:rPr>
        <w:t>支付违约金；逾期超过</w:t>
      </w:r>
      <w:r>
        <w:t xml:space="preserve"> 30 </w:t>
      </w:r>
      <w:r>
        <w:rPr>
          <w:rFonts w:ascii="宋体" w:eastAsia="宋体" w:hAnsi="宋体" w:cs="宋体" w:hint="eastAsia"/>
          <w:lang w:eastAsia="zh-CN"/>
        </w:rPr>
        <w:t>日的，乙方有权中止或终止授权。</w:t>
      </w:r>
      <w:r/>
    </w:p>
    <w:p>
      <w:pPr>
        <w:spacing w:before="0" w:after="0"/>
      </w:pPr>
      <w:r>
        <w:t xml:space="preserve">  </w:t>
      </w:r>
      <w:r>
        <w:rPr>
          <w:rFonts w:ascii="宋体" w:eastAsia="宋体" w:hAnsi="宋体" w:cs="宋体" w:hint="eastAsia"/>
          <w:lang w:eastAsia="zh-CN"/>
        </w:rPr>
        <w:t>第二十三条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乙方未按约定提供服务的，应限期改正；给甲方造成损失的，按实际损失赔偿，赔偿上限不超过甲方已支付的当年度费用。</w:t>
      </w:r>
      <w:r/>
    </w:p>
    <w:p>
      <w:pPr>
        <w:spacing w:before="0" w:after="0"/>
      </w:pPr>
      <w:r>
        <w:t xml:space="preserve">  </w:t>
      </w:r>
      <w:r>
        <w:rPr>
          <w:rFonts w:ascii="宋体" w:eastAsia="宋体" w:hAnsi="宋体" w:cs="宋体" w:hint="eastAsia"/>
          <w:lang w:eastAsia="zh-CN"/>
        </w:rPr>
        <w:t>第二十四条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任何一方违反保密义务的，应赔偿对方因此遭受的全部损失，并承担相应法律责任。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第十章 不可抗力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第二十五条 因自然灾害、战争、政府行为、网络基础设施故障等不可抗力导致一方不能履行合同的，受影响方应及时通知对方，并在合理期限内提供证明；不可抗力期间义务中止，双方互不承担违约责任。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第十一章 争议解决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第二十六条 因本合同引起的争议，双方应友好协商解决；协商不成的，提交乙方所在地有管辖权的人民法院诉讼解决。</w:t>
      </w:r>
      <w:r/>
    </w:p>
    <w:p>
      <w:pPr>
        <w:pStyle w:val="Heading2"/>
        <w:spacing w:before="480" w:after="210"/>
      </w:pPr>
      <w:r>
        <w:rPr>
          <w:rFonts w:ascii="宋体" w:hAnsi="宋体" w:eastAsia="宋体" w:cs="宋体" w:hint="eastAsia"/>
          <w:b/>
          <w:sz w:val="30"/>
          <w:lang w:eastAsia="zh-CN"/>
        </w:rPr>
        <w:t>第十二章 合同生效、变更与终止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第二十七条 本合同自双方签字盖章之日起生效，一式两份，甲乙双方各执一份，具有同等法律效力。</w:t>
      </w:r>
      <w:r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第二十八条 合同变更须经双方书面同意；订阅期满未续费或双方协商一致，合同终止。合同终止后，甲方已付费周期内的授权仍可使用至周期结束。</w:t>
      </w:r>
      <w:r/>
    </w:p>
    <w:p>
      <w:pPr>
        <w:spacing w:after="168"/>
      </w:pPr>
      <w:r>
        <w:rPr>
          <w:rFonts w:ascii="宋体" w:eastAsia="宋体" w:hAnsi="宋体" w:cs="宋体" w:hint="eastAsia"/>
          <w:b/>
          <w:lang w:eastAsia="zh-CN"/>
        </w:rPr>
        <w:t>甲方（盖章）：</w:t>
      </w:r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法定代表人（签字）：</w:t>
      </w:r>
      <w:bookmarkStart w:id="17" w:name="甲方法定代表人签字"/>
      <w:r>
        <w:t xml:space="preserve">              </w:t>
      </w:r>
      <w:bookmarkEnd w:id="17"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日期：</w:t>
      </w:r>
      <w:r>
        <w:t>______</w:t>
      </w:r>
      <w:r>
        <w:rPr>
          <w:rFonts w:ascii="宋体" w:eastAsia="宋体" w:hAnsi="宋体" w:cs="宋体" w:hint="eastAsia"/>
          <w:lang w:eastAsia="zh-CN"/>
        </w:rPr>
        <w:t>年</w:t>
      </w:r>
      <w:r>
        <w:t>____</w:t>
      </w:r>
      <w:r>
        <w:rPr>
          <w:rFonts w:ascii="宋体" w:eastAsia="宋体" w:hAnsi="宋体" w:cs="宋体" w:hint="eastAsia"/>
          <w:lang w:eastAsia="zh-CN"/>
        </w:rPr>
        <w:t>月</w:t>
      </w:r>
      <w:r>
        <w:t>____</w:t>
      </w:r>
      <w:r>
        <w:rPr>
          <w:rFonts w:ascii="宋体" w:eastAsia="宋体" w:hAnsi="宋体" w:cs="宋体" w:hint="eastAsia"/>
          <w:lang w:eastAsia="zh-CN"/>
        </w:rPr>
        <w:t>日</w:t>
      </w:r>
    </w:p>
    <w:p>
      <w:pPr>
        <w:spacing w:after="168"/>
      </w:pPr>
      <w:r>
        <w:rPr>
          <w:rFonts w:ascii="宋体" w:eastAsia="宋体" w:hAnsi="宋体" w:cs="宋体" w:hint="eastAsia"/>
          <w:b/>
          <w:lang w:eastAsia="zh-CN"/>
        </w:rPr>
        <w:t>乙方（盖章）：广州金容诚工程咨询有限公司</w:t>
      </w:r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法定代表人（签字）：</w:t>
      </w:r>
      <w:bookmarkStart w:id="18" w:name="乙方法定代表人签字"/>
      <w:r>
        <w:t xml:space="preserve">              </w:t>
      </w:r>
      <w:bookmarkEnd w:id="18"/>
    </w:p>
    <w:p>
      <w:pPr>
        <w:spacing w:after="168"/>
      </w:pPr>
      <w:r>
        <w:rPr>
          <w:rFonts w:ascii="宋体" w:eastAsia="宋体" w:hAnsi="宋体" w:cs="宋体" w:hint="eastAsia"/>
          <w:lang w:eastAsia="zh-CN"/>
        </w:rPr>
        <w:t>日期：</w:t>
      </w:r>
      <w:r>
        <w:t>______</w:t>
      </w:r>
      <w:r>
        <w:rPr>
          <w:rFonts w:ascii="宋体" w:eastAsia="宋体" w:hAnsi="宋体" w:cs="宋体" w:hint="eastAsia"/>
          <w:lang w:eastAsia="zh-CN"/>
        </w:rPr>
        <w:t>年</w:t>
      </w:r>
      <w:r>
        <w:t>____</w:t>
      </w:r>
      <w:r>
        <w:rPr>
          <w:rFonts w:ascii="宋体" w:eastAsia="宋体" w:hAnsi="宋体" w:cs="宋体" w:hint="eastAsia"/>
          <w:lang w:eastAsia="zh-CN"/>
        </w:rPr>
        <w:t>月</w:t>
      </w:r>
      <w:r>
        <w:t>____</w:t>
      </w:r>
      <w:r>
        <w:rPr>
          <w:rFonts w:ascii="宋体" w:eastAsia="宋体" w:hAnsi="宋体" w:cs="宋体" w:hint="eastAsia"/>
          <w:lang w:eastAsia="zh-CN"/>
        </w:rPr>
        <w:t>日</w:t>
      </w:r>
      <w:r/>
      <w:r/>
      <w:r/>
    </w:p>
    <w:sectPr w:rsidR="00FC693F" w:rsidRPr="0006063C" w:rsidSect="00034616">
      <w:footerReference w:type="default" r:id="rId9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156" w:val="center"/>
        <w:tab w:pos="8312" w:val="right"/>
      </w:tabs>
    </w:pPr>
    <w:r>
      <w:tab/>
    </w:r>
    <w:r>
      <w:t xml:space="preserve">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7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